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893CFB">
        <w:rPr>
          <w:sz w:val="24"/>
          <w:szCs w:val="24"/>
        </w:rPr>
        <w:t>173 - 15</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893CFB">
        <w:rPr>
          <w:sz w:val="24"/>
          <w:szCs w:val="24"/>
        </w:rPr>
        <w:t>Guri Årtun</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8B0E88">
        <w:rPr>
          <w:sz w:val="24"/>
          <w:szCs w:val="24"/>
        </w:rPr>
        <w:t>16.12</w:t>
      </w:r>
      <w:r w:rsidR="00DA1F37">
        <w:rPr>
          <w:sz w:val="24"/>
          <w:szCs w:val="24"/>
        </w:rPr>
        <w:t>.2015</w:t>
      </w:r>
    </w:p>
    <w:p w:rsidR="00425C04" w:rsidRDefault="00425C04">
      <w:pPr>
        <w:rPr>
          <w:b/>
          <w:sz w:val="28"/>
          <w:szCs w:val="28"/>
          <w:u w:val="single"/>
        </w:rPr>
      </w:pPr>
    </w:p>
    <w:p w:rsidR="00720FD8" w:rsidRPr="00425C04" w:rsidRDefault="00893CFB">
      <w:pPr>
        <w:rPr>
          <w:b/>
          <w:sz w:val="28"/>
          <w:szCs w:val="28"/>
          <w:u w:val="single"/>
        </w:rPr>
      </w:pPr>
      <w:r>
        <w:rPr>
          <w:b/>
          <w:sz w:val="28"/>
          <w:szCs w:val="28"/>
          <w:u w:val="single"/>
        </w:rPr>
        <w:t xml:space="preserve">Økonomisk rapport pr </w:t>
      </w:r>
      <w:r w:rsidR="00C247EC">
        <w:rPr>
          <w:b/>
          <w:sz w:val="28"/>
          <w:szCs w:val="28"/>
          <w:u w:val="single"/>
        </w:rPr>
        <w:t xml:space="preserve">oktober </w:t>
      </w:r>
      <w:r>
        <w:rPr>
          <w:b/>
          <w:sz w:val="28"/>
          <w:szCs w:val="28"/>
          <w:u w:val="single"/>
        </w:rPr>
        <w:t>2015</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0C40B0" w:rsidRDefault="000C40B0" w:rsidP="000C40B0">
      <w:r>
        <w:t xml:space="preserve">Økonomisk status pr </w:t>
      </w:r>
      <w:r w:rsidR="00D870DB">
        <w:t>oktober</w:t>
      </w:r>
      <w:r>
        <w:t xml:space="preserve"> 2015</w:t>
      </w:r>
    </w:p>
    <w:p w:rsidR="00FA3722" w:rsidRDefault="00FA3722"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2640D4" w:rsidRPr="00720FD8" w:rsidRDefault="002640D4" w:rsidP="00B30221">
      <w:pPr>
        <w:rPr>
          <w:b/>
          <w:sz w:val="28"/>
          <w:szCs w:val="28"/>
          <w:u w:val="single"/>
        </w:rPr>
      </w:pPr>
    </w:p>
    <w:tbl>
      <w:tblPr>
        <w:tblW w:w="9776" w:type="dxa"/>
        <w:tblCellMar>
          <w:left w:w="70" w:type="dxa"/>
          <w:right w:w="70" w:type="dxa"/>
        </w:tblCellMar>
        <w:tblLook w:val="04A0" w:firstRow="1" w:lastRow="0" w:firstColumn="1" w:lastColumn="0" w:noHBand="0" w:noVBand="1"/>
      </w:tblPr>
      <w:tblGrid>
        <w:gridCol w:w="846"/>
        <w:gridCol w:w="1984"/>
        <w:gridCol w:w="1418"/>
        <w:gridCol w:w="1276"/>
        <w:gridCol w:w="1275"/>
        <w:gridCol w:w="1276"/>
        <w:gridCol w:w="1701"/>
      </w:tblGrid>
      <w:tr w:rsidR="00D870DB" w:rsidRPr="00D870DB" w:rsidTr="00D870DB">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b/>
                <w:bCs/>
                <w:sz w:val="20"/>
                <w:szCs w:val="20"/>
              </w:rPr>
              <w:t>Ansvar</w:t>
            </w:r>
          </w:p>
        </w:tc>
        <w:tc>
          <w:tcPr>
            <w:tcW w:w="1984"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b/>
                <w:bCs/>
                <w:sz w:val="20"/>
                <w:szCs w:val="20"/>
              </w:rPr>
              <w:t>Regnskap</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b/>
                <w:bCs/>
                <w:sz w:val="20"/>
                <w:szCs w:val="20"/>
              </w:rPr>
              <w:t>Budsjett</w:t>
            </w:r>
          </w:p>
        </w:tc>
        <w:tc>
          <w:tcPr>
            <w:tcW w:w="1275"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b/>
                <w:bCs/>
                <w:sz w:val="20"/>
                <w:szCs w:val="20"/>
              </w:rPr>
              <w:t>Avvik</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b/>
                <w:bCs/>
                <w:sz w:val="20"/>
                <w:szCs w:val="20"/>
              </w:rPr>
              <w:t>Årsbudsjett</w:t>
            </w:r>
          </w:p>
        </w:tc>
        <w:tc>
          <w:tcPr>
            <w:tcW w:w="1701" w:type="dxa"/>
            <w:tcBorders>
              <w:top w:val="single" w:sz="4" w:space="0" w:color="auto"/>
              <w:left w:val="nil"/>
              <w:bottom w:val="single" w:sz="4" w:space="0" w:color="auto"/>
              <w:right w:val="single" w:sz="4" w:space="0" w:color="auto"/>
            </w:tcBorders>
            <w:shd w:val="clear" w:color="000000" w:fill="92D050"/>
            <w:noWrap/>
            <w:vAlign w:val="bottom"/>
            <w:hideMark/>
          </w:tcPr>
          <w:p w:rsidR="00D870DB" w:rsidRPr="00D870DB" w:rsidRDefault="00D870DB" w:rsidP="00D870DB">
            <w:pPr>
              <w:spacing w:after="0" w:line="240" w:lineRule="auto"/>
              <w:jc w:val="center"/>
              <w:rPr>
                <w:rFonts w:ascii="Calibri" w:eastAsia="Times New Roman" w:hAnsi="Calibri" w:cs="Times New Roman"/>
                <w:b/>
                <w:bCs/>
                <w:color w:val="000000"/>
                <w:sz w:val="20"/>
                <w:szCs w:val="20"/>
              </w:rPr>
            </w:pPr>
            <w:r w:rsidRPr="00D870DB">
              <w:rPr>
                <w:rFonts w:ascii="Calibri" w:eastAsia="Times New Roman" w:hAnsi="Calibri" w:cs="Times New Roman"/>
                <w:b/>
                <w:bCs/>
                <w:color w:val="000000"/>
                <w:sz w:val="20"/>
                <w:szCs w:val="20"/>
              </w:rPr>
              <w:t>Prognose ved årets slutt, avvik</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ALLE</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8 798 886</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7 561 833</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-1 237 053</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0</w:t>
            </w:r>
          </w:p>
        </w:tc>
        <w:tc>
          <w:tcPr>
            <w:tcW w:w="1701" w:type="dxa"/>
            <w:tcBorders>
              <w:top w:val="nil"/>
              <w:left w:val="nil"/>
              <w:bottom w:val="nil"/>
              <w:right w:val="nil"/>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-3 197 048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 xml:space="preserve"> </w:t>
            </w:r>
            <w:r w:rsidRPr="00D870DB">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D870DB">
              <w:rPr>
                <w:rFonts w:ascii="Calibri" w:eastAsia="Times New Roman" w:hAnsi="Calibri" w:cs="Times New Roman"/>
                <w:color w:val="000000"/>
                <w:sz w:val="20"/>
                <w:szCs w:val="20"/>
              </w:rPr>
              <w:t>19</w:t>
            </w:r>
            <w:r>
              <w:rPr>
                <w:rFonts w:ascii="Calibri" w:eastAsia="Times New Roman" w:hAnsi="Calibri" w:cs="Times New Roman"/>
                <w:color w:val="000000"/>
                <w:sz w:val="20"/>
                <w:szCs w:val="20"/>
              </w:rPr>
              <w:t xml:space="preserve"> </w:t>
            </w:r>
          </w:p>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D870DB">
              <w:rPr>
                <w:rFonts w:ascii="Calibri" w:eastAsia="Times New Roman" w:hAnsi="Calibri" w:cs="Times New Roman"/>
                <w:color w:val="000000"/>
                <w:sz w:val="20"/>
                <w:szCs w:val="20"/>
              </w:rPr>
              <w:t>89</w:t>
            </w:r>
          </w:p>
        </w:tc>
        <w:tc>
          <w:tcPr>
            <w:tcW w:w="1984" w:type="dxa"/>
            <w:tcBorders>
              <w:top w:val="nil"/>
              <w:left w:val="nil"/>
              <w:bottom w:val="nil"/>
              <w:right w:val="nil"/>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Eiendom - vedlikehold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31 891 085</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31 893 583</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2 497</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33 260 000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-4 107 865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Eiendom - fellestjenester</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13 874 748</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15 479 167</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1 604 418</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18 575 000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Eiendom - byggeprosjekter</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-1 522 674</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1 522 674</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40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Brukerstyrte renholdstjenester</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46 685 183</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48 431 667</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1 746 483</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58 118 000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1 410 817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50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Brukerstyrte vaktmestertjenester</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2 500 000</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2 500 000</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3 000 000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70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Eiendom - utvikling</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-101 359 302</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-101 145 083</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214 219</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-128 436 000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9 000 000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80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Stab</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3 214 690</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2 744 167</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-470 524</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3 293 000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w:t>
            </w:r>
          </w:p>
        </w:tc>
      </w:tr>
      <w:tr w:rsidR="00D870DB" w:rsidRPr="00D870DB" w:rsidTr="00D870DB">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center"/>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90</w:t>
            </w:r>
          </w:p>
        </w:tc>
        <w:tc>
          <w:tcPr>
            <w:tcW w:w="1984"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Energi bygg</w:t>
            </w:r>
          </w:p>
        </w:tc>
        <w:tc>
          <w:tcPr>
            <w:tcW w:w="1418"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13 515 153</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7 658 333</w:t>
            </w:r>
          </w:p>
        </w:tc>
        <w:tc>
          <w:tcPr>
            <w:tcW w:w="1275"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-5 856 820</w:t>
            </w:r>
          </w:p>
        </w:tc>
        <w:tc>
          <w:tcPr>
            <w:tcW w:w="1276"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jc w:val="right"/>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12 190 000</w:t>
            </w:r>
          </w:p>
        </w:tc>
        <w:tc>
          <w:tcPr>
            <w:tcW w:w="1701" w:type="dxa"/>
            <w:tcBorders>
              <w:top w:val="nil"/>
              <w:left w:val="nil"/>
              <w:bottom w:val="single" w:sz="4" w:space="0" w:color="auto"/>
              <w:right w:val="single" w:sz="4" w:space="0" w:color="auto"/>
            </w:tcBorders>
            <w:shd w:val="clear" w:color="auto" w:fill="auto"/>
            <w:noWrap/>
            <w:vAlign w:val="bottom"/>
            <w:hideMark/>
          </w:tcPr>
          <w:p w:rsidR="00D870DB" w:rsidRPr="00D870DB" w:rsidRDefault="00D870DB" w:rsidP="00D870DB">
            <w:pPr>
              <w:spacing w:after="0" w:line="240" w:lineRule="auto"/>
              <w:rPr>
                <w:rFonts w:ascii="Calibri" w:eastAsia="Times New Roman" w:hAnsi="Calibri" w:cs="Times New Roman"/>
                <w:color w:val="000000"/>
                <w:sz w:val="20"/>
                <w:szCs w:val="20"/>
              </w:rPr>
            </w:pPr>
            <w:r w:rsidRPr="00D870DB">
              <w:rPr>
                <w:rFonts w:ascii="Calibri" w:eastAsia="Times New Roman" w:hAnsi="Calibri" w:cs="Times New Roman"/>
                <w:color w:val="000000"/>
                <w:sz w:val="20"/>
                <w:szCs w:val="20"/>
              </w:rPr>
              <w:t xml:space="preserve">                                             -9 500 000 </w:t>
            </w:r>
          </w:p>
        </w:tc>
      </w:tr>
    </w:tbl>
    <w:p w:rsidR="00FA3722" w:rsidRDefault="00FA3722">
      <w:pPr>
        <w:rPr>
          <w:b/>
          <w:sz w:val="28"/>
          <w:szCs w:val="28"/>
          <w:u w:val="single"/>
        </w:rPr>
      </w:pPr>
      <w:r>
        <w:rPr>
          <w:b/>
          <w:sz w:val="28"/>
          <w:szCs w:val="28"/>
          <w:u w:val="single"/>
        </w:rPr>
        <w:br w:type="page"/>
      </w:r>
    </w:p>
    <w:p w:rsidR="00720FD8" w:rsidRPr="00625B2F" w:rsidRDefault="00720FD8" w:rsidP="00B30221">
      <w:pPr>
        <w:rPr>
          <w:rFonts w:ascii="Times New Roman" w:hAnsi="Times New Roman" w:cs="Times New Roman"/>
          <w:b/>
          <w:sz w:val="28"/>
          <w:szCs w:val="28"/>
          <w:u w:val="single"/>
        </w:rPr>
      </w:pPr>
      <w:r w:rsidRPr="00625B2F">
        <w:rPr>
          <w:rFonts w:ascii="Times New Roman" w:hAnsi="Times New Roman" w:cs="Times New Roman"/>
          <w:b/>
          <w:sz w:val="28"/>
          <w:szCs w:val="28"/>
          <w:u w:val="single"/>
        </w:rPr>
        <w:lastRenderedPageBreak/>
        <w:t>Vurderinger:</w:t>
      </w:r>
    </w:p>
    <w:p w:rsidR="00FA3722" w:rsidRPr="00625B2F" w:rsidRDefault="00FA3722" w:rsidP="00FA3722">
      <w:pPr>
        <w:rPr>
          <w:rFonts w:ascii="Times New Roman" w:hAnsi="Times New Roman" w:cs="Times New Roman"/>
        </w:rPr>
      </w:pPr>
      <w:r w:rsidRPr="00625B2F">
        <w:rPr>
          <w:rFonts w:ascii="Times New Roman" w:hAnsi="Times New Roman" w:cs="Times New Roman"/>
        </w:rPr>
        <w:t>Per oktober viser regnskapet til Sandnes Eiendomsselskap KF et merforbruk på kr 1,2 millioner.</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10 – 19 samt 86 Eiendom – vedlikehold</w:t>
      </w:r>
      <w:r w:rsidRPr="00625B2F">
        <w:rPr>
          <w:rFonts w:ascii="Times New Roman" w:hAnsi="Times New Roman" w:cs="Times New Roman"/>
        </w:rPr>
        <w:t>:</w:t>
      </w:r>
    </w:p>
    <w:p w:rsidR="00D9389D" w:rsidRPr="00625B2F" w:rsidRDefault="00FA3722" w:rsidP="00FA3722">
      <w:pPr>
        <w:rPr>
          <w:rFonts w:ascii="Times New Roman" w:hAnsi="Times New Roman" w:cs="Times New Roman"/>
        </w:rPr>
      </w:pPr>
      <w:r w:rsidRPr="00625B2F">
        <w:rPr>
          <w:rFonts w:ascii="Times New Roman" w:hAnsi="Times New Roman" w:cs="Times New Roman"/>
        </w:rPr>
        <w:t xml:space="preserve">Tilnærmet i balanse per oktober. </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20 Eiendom – fellestjenester</w:t>
      </w:r>
      <w:r w:rsidRPr="00625B2F">
        <w:rPr>
          <w:rFonts w:ascii="Times New Roman" w:hAnsi="Times New Roman" w:cs="Times New Roman"/>
        </w:rPr>
        <w:t xml:space="preserve"> </w:t>
      </w:r>
    </w:p>
    <w:p w:rsidR="00D9389D" w:rsidRPr="00625B2F" w:rsidRDefault="00FA3722" w:rsidP="00FA3722">
      <w:pPr>
        <w:rPr>
          <w:rFonts w:ascii="Times New Roman" w:hAnsi="Times New Roman" w:cs="Times New Roman"/>
        </w:rPr>
      </w:pPr>
      <w:r w:rsidRPr="00625B2F">
        <w:rPr>
          <w:rFonts w:ascii="Times New Roman" w:hAnsi="Times New Roman" w:cs="Times New Roman"/>
        </w:rPr>
        <w:t xml:space="preserve">Mindreforbruk på </w:t>
      </w:r>
      <w:r w:rsidR="007A06ED">
        <w:rPr>
          <w:rFonts w:ascii="Times New Roman" w:hAnsi="Times New Roman" w:cs="Times New Roman"/>
        </w:rPr>
        <w:t xml:space="preserve">kr </w:t>
      </w:r>
      <w:r w:rsidRPr="00625B2F">
        <w:rPr>
          <w:rFonts w:ascii="Times New Roman" w:hAnsi="Times New Roman" w:cs="Times New Roman"/>
        </w:rPr>
        <w:t>1,6 millioner. Dette ansvaret har budsjett etter inngåtte driftsavtaler med tekniske og det styres her etter balanse ved årets slutt</w:t>
      </w:r>
      <w:r w:rsidR="00D9389D" w:rsidRPr="00625B2F">
        <w:rPr>
          <w:rFonts w:ascii="Times New Roman" w:hAnsi="Times New Roman" w:cs="Times New Roman"/>
        </w:rPr>
        <w:t>.</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30 Eiendom – byggeprosjekter</w:t>
      </w:r>
      <w:r w:rsidRPr="00625B2F">
        <w:rPr>
          <w:rFonts w:ascii="Times New Roman" w:hAnsi="Times New Roman" w:cs="Times New Roman"/>
        </w:rPr>
        <w:t xml:space="preserve"> </w:t>
      </w:r>
    </w:p>
    <w:p w:rsidR="00FA3722" w:rsidRPr="00625B2F" w:rsidRDefault="00FA3722" w:rsidP="00FA3722">
      <w:pPr>
        <w:rPr>
          <w:rFonts w:ascii="Times New Roman" w:hAnsi="Times New Roman" w:cs="Times New Roman"/>
        </w:rPr>
      </w:pPr>
      <w:r w:rsidRPr="00625B2F">
        <w:rPr>
          <w:rFonts w:ascii="Times New Roman" w:hAnsi="Times New Roman" w:cs="Times New Roman"/>
        </w:rPr>
        <w:t xml:space="preserve">Mindreforbruk kr 1,5 millioner. Ubenyttede konsulentmidler samt ikke kommet regning for </w:t>
      </w:r>
      <w:r w:rsidR="008A6BB6">
        <w:rPr>
          <w:rFonts w:ascii="Times New Roman" w:hAnsi="Times New Roman" w:cs="Times New Roman"/>
        </w:rPr>
        <w:t>innleide medarbeidere fra anskaffelse</w:t>
      </w:r>
      <w:r w:rsidRPr="00625B2F">
        <w:rPr>
          <w:rFonts w:ascii="Times New Roman" w:hAnsi="Times New Roman" w:cs="Times New Roman"/>
        </w:rPr>
        <w:t xml:space="preserve"> for september og oktober. </w:t>
      </w:r>
      <w:r w:rsidR="008A6BB6">
        <w:rPr>
          <w:rFonts w:ascii="Times New Roman" w:hAnsi="Times New Roman" w:cs="Times New Roman"/>
        </w:rPr>
        <w:t>Om lag kr 400 000</w:t>
      </w:r>
      <w:r w:rsidR="00D9389D" w:rsidRPr="00625B2F">
        <w:rPr>
          <w:rFonts w:ascii="Times New Roman" w:hAnsi="Times New Roman" w:cs="Times New Roman"/>
        </w:rPr>
        <w:t xml:space="preserve"> av husleie </w:t>
      </w:r>
      <w:r w:rsidR="008A6BB6">
        <w:rPr>
          <w:rFonts w:ascii="Times New Roman" w:hAnsi="Times New Roman" w:cs="Times New Roman"/>
        </w:rPr>
        <w:t xml:space="preserve">for SEKF sine kontorlokaler </w:t>
      </w:r>
      <w:r w:rsidR="00D9389D" w:rsidRPr="00625B2F">
        <w:rPr>
          <w:rFonts w:ascii="Times New Roman" w:hAnsi="Times New Roman" w:cs="Times New Roman"/>
        </w:rPr>
        <w:t>skal belastes byggeprosjekter, dette er ikke gjort p</w:t>
      </w:r>
      <w:r w:rsidR="007A06ED">
        <w:rPr>
          <w:rFonts w:ascii="Times New Roman" w:hAnsi="Times New Roman" w:cs="Times New Roman"/>
        </w:rPr>
        <w:t>e</w:t>
      </w:r>
      <w:r w:rsidR="00D9389D" w:rsidRPr="00625B2F">
        <w:rPr>
          <w:rFonts w:ascii="Times New Roman" w:hAnsi="Times New Roman" w:cs="Times New Roman"/>
        </w:rPr>
        <w:t>r oktober</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40 Brukerstyrte renholdstjenester</w:t>
      </w:r>
      <w:r w:rsidRPr="00625B2F">
        <w:rPr>
          <w:rFonts w:ascii="Times New Roman" w:hAnsi="Times New Roman" w:cs="Times New Roman"/>
        </w:rPr>
        <w:t xml:space="preserve"> </w:t>
      </w:r>
    </w:p>
    <w:p w:rsidR="00FA3722" w:rsidRPr="00625B2F" w:rsidRDefault="00FA3722" w:rsidP="00FA3722">
      <w:pPr>
        <w:rPr>
          <w:rFonts w:ascii="Times New Roman" w:hAnsi="Times New Roman" w:cs="Times New Roman"/>
        </w:rPr>
      </w:pPr>
      <w:r w:rsidRPr="00625B2F">
        <w:rPr>
          <w:rFonts w:ascii="Times New Roman" w:hAnsi="Times New Roman" w:cs="Times New Roman"/>
        </w:rPr>
        <w:t xml:space="preserve">Mindreforbruk på kr 1,7 millioner per august. Kreditnota kr 1 millioner i oktober </w:t>
      </w:r>
      <w:r w:rsidR="007A06ED">
        <w:rPr>
          <w:rFonts w:ascii="Times New Roman" w:hAnsi="Times New Roman" w:cs="Times New Roman"/>
        </w:rPr>
        <w:t>som følge av</w:t>
      </w:r>
      <w:r w:rsidR="007A06ED" w:rsidRPr="00625B2F">
        <w:rPr>
          <w:rFonts w:ascii="Times New Roman" w:hAnsi="Times New Roman" w:cs="Times New Roman"/>
        </w:rPr>
        <w:t xml:space="preserve"> </w:t>
      </w:r>
      <w:r w:rsidRPr="00625B2F">
        <w:rPr>
          <w:rFonts w:ascii="Times New Roman" w:hAnsi="Times New Roman" w:cs="Times New Roman"/>
        </w:rPr>
        <w:t>for høyt budsjettert lønnsoppgjør</w:t>
      </w:r>
      <w:r w:rsidR="008A6BB6">
        <w:rPr>
          <w:rFonts w:ascii="Times New Roman" w:hAnsi="Times New Roman" w:cs="Times New Roman"/>
        </w:rPr>
        <w:t xml:space="preserve"> hos byggdrift</w:t>
      </w:r>
      <w:r w:rsidRPr="00625B2F">
        <w:rPr>
          <w:rFonts w:ascii="Times New Roman" w:hAnsi="Times New Roman" w:cs="Times New Roman"/>
        </w:rPr>
        <w:t>.</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50 Brukerstyrte vaktmestertjenester</w:t>
      </w:r>
      <w:r w:rsidRPr="00625B2F">
        <w:rPr>
          <w:rFonts w:ascii="Times New Roman" w:hAnsi="Times New Roman" w:cs="Times New Roman"/>
        </w:rPr>
        <w:t xml:space="preserve"> </w:t>
      </w:r>
    </w:p>
    <w:p w:rsidR="00FA3722" w:rsidRPr="00625B2F" w:rsidRDefault="00FA3722" w:rsidP="00FA3722">
      <w:pPr>
        <w:rPr>
          <w:rFonts w:ascii="Times New Roman" w:hAnsi="Times New Roman" w:cs="Times New Roman"/>
        </w:rPr>
      </w:pPr>
      <w:r w:rsidRPr="00625B2F">
        <w:rPr>
          <w:rFonts w:ascii="Times New Roman" w:hAnsi="Times New Roman" w:cs="Times New Roman"/>
        </w:rPr>
        <w:t>Fast overføring hver måned og er i balanse.</w:t>
      </w:r>
    </w:p>
    <w:p w:rsidR="00FA3722" w:rsidRPr="00625B2F" w:rsidRDefault="00FA3722" w:rsidP="00FA3722">
      <w:pPr>
        <w:rPr>
          <w:rFonts w:ascii="Times New Roman" w:hAnsi="Times New Roman" w:cs="Times New Roman"/>
          <w:b/>
        </w:rPr>
      </w:pPr>
      <w:r w:rsidRPr="00625B2F">
        <w:rPr>
          <w:rFonts w:ascii="Times New Roman" w:hAnsi="Times New Roman" w:cs="Times New Roman"/>
          <w:b/>
        </w:rPr>
        <w:t>Ansvar 70 Eiendom – utvikling</w:t>
      </w:r>
    </w:p>
    <w:p w:rsidR="00FA3722" w:rsidRPr="00625B2F" w:rsidRDefault="00FA3722" w:rsidP="00FA3722">
      <w:pPr>
        <w:rPr>
          <w:rFonts w:ascii="Times New Roman" w:hAnsi="Times New Roman" w:cs="Times New Roman"/>
        </w:rPr>
      </w:pPr>
      <w:r w:rsidRPr="00625B2F">
        <w:rPr>
          <w:rFonts w:ascii="Times New Roman" w:hAnsi="Times New Roman" w:cs="Times New Roman"/>
        </w:rPr>
        <w:t>Mindreforbruk kr 0,2 million. Når de eksterne husleiene tilbakeføres til enhetene vil ansvarsområdet ha et mindreforbruk på omlag 9 millioner. Mindreforbruket på ansvarsområdet skyldes merinntekter fra husleieinntekter kr 4,7 millioner, ubenyttede konsulentmidler kr 2,7 millioner, ubenyttede lønnsmidler kr 0,9 millioner og refusjon fødselspenger kr 0,2 millioner.</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80 Stab</w:t>
      </w:r>
      <w:r w:rsidRPr="00625B2F">
        <w:rPr>
          <w:rFonts w:ascii="Times New Roman" w:hAnsi="Times New Roman" w:cs="Times New Roman"/>
        </w:rPr>
        <w:t xml:space="preserve"> </w:t>
      </w:r>
    </w:p>
    <w:p w:rsidR="00FA3722" w:rsidRPr="00625B2F" w:rsidRDefault="00FA3722" w:rsidP="00FA3722">
      <w:pPr>
        <w:rPr>
          <w:rFonts w:ascii="Times New Roman" w:hAnsi="Times New Roman" w:cs="Times New Roman"/>
        </w:rPr>
      </w:pPr>
      <w:r w:rsidRPr="00625B2F">
        <w:rPr>
          <w:rFonts w:ascii="Times New Roman" w:hAnsi="Times New Roman" w:cs="Times New Roman"/>
        </w:rPr>
        <w:t xml:space="preserve">Merforbruk på 0,5 millioner per </w:t>
      </w:r>
      <w:r w:rsidR="003E1400" w:rsidRPr="00625B2F">
        <w:rPr>
          <w:rFonts w:ascii="Times New Roman" w:hAnsi="Times New Roman" w:cs="Times New Roman"/>
        </w:rPr>
        <w:t>oktober</w:t>
      </w:r>
      <w:r w:rsidRPr="00625B2F">
        <w:rPr>
          <w:rFonts w:ascii="Times New Roman" w:hAnsi="Times New Roman" w:cs="Times New Roman"/>
        </w:rPr>
        <w:t xml:space="preserve">. Merforbruket skyldes oppstart i nye lokaler. </w:t>
      </w:r>
    </w:p>
    <w:p w:rsidR="00FA3722" w:rsidRPr="00625B2F" w:rsidRDefault="00FA3722" w:rsidP="00FA3722">
      <w:pPr>
        <w:rPr>
          <w:rFonts w:ascii="Times New Roman" w:hAnsi="Times New Roman" w:cs="Times New Roman"/>
        </w:rPr>
      </w:pPr>
      <w:r w:rsidRPr="00625B2F">
        <w:rPr>
          <w:rFonts w:ascii="Times New Roman" w:hAnsi="Times New Roman" w:cs="Times New Roman"/>
          <w:b/>
        </w:rPr>
        <w:t>Ansvar 90 Energi bygg</w:t>
      </w:r>
      <w:r w:rsidRPr="00625B2F">
        <w:rPr>
          <w:rFonts w:ascii="Times New Roman" w:hAnsi="Times New Roman" w:cs="Times New Roman"/>
        </w:rPr>
        <w:t xml:space="preserve"> </w:t>
      </w:r>
    </w:p>
    <w:p w:rsidR="003E1400" w:rsidRPr="00625B2F" w:rsidRDefault="00FA3722" w:rsidP="003E1400">
      <w:pPr>
        <w:rPr>
          <w:rFonts w:ascii="Times New Roman" w:hAnsi="Times New Roman" w:cs="Times New Roman"/>
        </w:rPr>
      </w:pPr>
      <w:r w:rsidRPr="00625B2F">
        <w:rPr>
          <w:rFonts w:ascii="Times New Roman" w:hAnsi="Times New Roman" w:cs="Times New Roman"/>
        </w:rPr>
        <w:t xml:space="preserve">Merforbruk på kr 5,8 millioner. I driftsbudsjettet for energi ligger det inne en innsparing på kr 8,9 millioner for 2015 samt inntekter fra frikraftavtalen på kr 4,5 millioner. Innsparingen er en videreføring av innsparingsmuligheter beregnet ut fra forventede investeringer og energikostnader i 2010. En reberegning viser at det trolig ikke finnes rom for innsparingen som er lagt inn </w:t>
      </w:r>
      <w:r w:rsidR="003E1400" w:rsidRPr="00625B2F">
        <w:rPr>
          <w:rFonts w:ascii="Times New Roman" w:hAnsi="Times New Roman" w:cs="Times New Roman"/>
        </w:rPr>
        <w:t xml:space="preserve">i budsjettet for </w:t>
      </w:r>
      <w:r w:rsidRPr="00625B2F">
        <w:rPr>
          <w:rFonts w:ascii="Times New Roman" w:hAnsi="Times New Roman" w:cs="Times New Roman"/>
        </w:rPr>
        <w:t xml:space="preserve">2015. Det </w:t>
      </w:r>
      <w:r w:rsidR="003E1400" w:rsidRPr="00625B2F">
        <w:rPr>
          <w:rFonts w:ascii="Times New Roman" w:hAnsi="Times New Roman" w:cs="Times New Roman"/>
        </w:rPr>
        <w:t xml:space="preserve">ble </w:t>
      </w:r>
      <w:r w:rsidRPr="00625B2F">
        <w:rPr>
          <w:rFonts w:ascii="Times New Roman" w:hAnsi="Times New Roman" w:cs="Times New Roman"/>
        </w:rPr>
        <w:t xml:space="preserve">meldt inn behov for å ta ut innsparingskravet til 2. perioderapport for Sandnes kommune. Søknaden til 2. perioderapport ble ikke innvilget. </w:t>
      </w:r>
    </w:p>
    <w:p w:rsidR="003E1400" w:rsidRPr="00625B2F" w:rsidRDefault="00777032" w:rsidP="003E1400">
      <w:pPr>
        <w:rPr>
          <w:rFonts w:ascii="Times New Roman" w:hAnsi="Times New Roman" w:cs="Times New Roman"/>
        </w:rPr>
      </w:pPr>
      <w:r w:rsidRPr="00625B2F">
        <w:rPr>
          <w:rFonts w:ascii="Times New Roman" w:hAnsi="Times New Roman" w:cs="Times New Roman"/>
        </w:rPr>
        <w:t>Når det gjelder frikraftavtalen viser det seg ved en gjennomgang av energibudsjettet at dette er feilbudsjettert. I</w:t>
      </w:r>
      <w:r w:rsidR="003E1400" w:rsidRPr="00625B2F">
        <w:rPr>
          <w:rFonts w:ascii="Times New Roman" w:hAnsi="Times New Roman" w:cs="Times New Roman"/>
        </w:rPr>
        <w:t>nntektskrav for frikraft er lagt inn med kr 4 mill</w:t>
      </w:r>
      <w:r w:rsidR="008A6BB6">
        <w:rPr>
          <w:rFonts w:ascii="Times New Roman" w:hAnsi="Times New Roman" w:cs="Times New Roman"/>
        </w:rPr>
        <w:t>ioner</w:t>
      </w:r>
      <w:r w:rsidR="003E1400" w:rsidRPr="00625B2F">
        <w:rPr>
          <w:rFonts w:ascii="Times New Roman" w:hAnsi="Times New Roman" w:cs="Times New Roman"/>
        </w:rPr>
        <w:t xml:space="preserve"> for mye. I 2014 ble inntektskravet på kr 4 mill</w:t>
      </w:r>
      <w:r w:rsidR="008A6BB6">
        <w:rPr>
          <w:rFonts w:ascii="Times New Roman" w:hAnsi="Times New Roman" w:cs="Times New Roman"/>
        </w:rPr>
        <w:t>ioner</w:t>
      </w:r>
      <w:r w:rsidR="003E1400" w:rsidRPr="00625B2F">
        <w:rPr>
          <w:rFonts w:ascii="Times New Roman" w:hAnsi="Times New Roman" w:cs="Times New Roman"/>
        </w:rPr>
        <w:t xml:space="preserve"> lagt inn i basis. I 2015 skulle inntektskravet økes til kr 4,5 mill. Ved en feil, ble kr 4,5 mill</w:t>
      </w:r>
      <w:r w:rsidR="008A6BB6">
        <w:rPr>
          <w:rFonts w:ascii="Times New Roman" w:hAnsi="Times New Roman" w:cs="Times New Roman"/>
        </w:rPr>
        <w:t>ioner</w:t>
      </w:r>
      <w:r w:rsidR="003E1400" w:rsidRPr="00625B2F">
        <w:rPr>
          <w:rFonts w:ascii="Times New Roman" w:hAnsi="Times New Roman" w:cs="Times New Roman"/>
        </w:rPr>
        <w:t xml:space="preserve"> lagt oppå de kr 4 mill</w:t>
      </w:r>
      <w:r w:rsidR="008A6BB6">
        <w:rPr>
          <w:rFonts w:ascii="Times New Roman" w:hAnsi="Times New Roman" w:cs="Times New Roman"/>
        </w:rPr>
        <w:t>ioner</w:t>
      </w:r>
      <w:r w:rsidR="003E1400" w:rsidRPr="00625B2F">
        <w:rPr>
          <w:rFonts w:ascii="Times New Roman" w:hAnsi="Times New Roman" w:cs="Times New Roman"/>
        </w:rPr>
        <w:t xml:space="preserve"> som allerede var lagt inn. Det skulle bare vært lagt inn kr 0,5 mill</w:t>
      </w:r>
      <w:r w:rsidR="008A6BB6">
        <w:rPr>
          <w:rFonts w:ascii="Times New Roman" w:hAnsi="Times New Roman" w:cs="Times New Roman"/>
        </w:rPr>
        <w:t>ioner</w:t>
      </w:r>
      <w:r w:rsidR="003E1400" w:rsidRPr="00625B2F">
        <w:rPr>
          <w:rFonts w:ascii="Times New Roman" w:hAnsi="Times New Roman" w:cs="Times New Roman"/>
        </w:rPr>
        <w:t>. Istedenfor et budsjett på kr 12,2 mill</w:t>
      </w:r>
      <w:r w:rsidR="008A6BB6">
        <w:rPr>
          <w:rFonts w:ascii="Times New Roman" w:hAnsi="Times New Roman" w:cs="Times New Roman"/>
        </w:rPr>
        <w:t>ioner</w:t>
      </w:r>
      <w:r w:rsidR="003E1400" w:rsidRPr="00625B2F">
        <w:rPr>
          <w:rFonts w:ascii="Times New Roman" w:hAnsi="Times New Roman" w:cs="Times New Roman"/>
        </w:rPr>
        <w:t xml:space="preserve">, skulle energibudsjettet vært på kr </w:t>
      </w:r>
      <w:r w:rsidR="003E1400" w:rsidRPr="00625B2F">
        <w:rPr>
          <w:rFonts w:ascii="Times New Roman" w:hAnsi="Times New Roman" w:cs="Times New Roman"/>
        </w:rPr>
        <w:lastRenderedPageBreak/>
        <w:t>16,2 mill</w:t>
      </w:r>
      <w:r w:rsidR="008A6BB6">
        <w:rPr>
          <w:rFonts w:ascii="Times New Roman" w:hAnsi="Times New Roman" w:cs="Times New Roman"/>
        </w:rPr>
        <w:t>ioner</w:t>
      </w:r>
      <w:r w:rsidR="003E1400" w:rsidRPr="00625B2F">
        <w:rPr>
          <w:rFonts w:ascii="Times New Roman" w:hAnsi="Times New Roman" w:cs="Times New Roman"/>
        </w:rPr>
        <w:t>, inkludert innsparinger på enøk og inntektskrav på frikraft</w:t>
      </w:r>
      <w:r w:rsidRPr="00625B2F">
        <w:rPr>
          <w:rFonts w:ascii="Times New Roman" w:hAnsi="Times New Roman" w:cs="Times New Roman"/>
        </w:rPr>
        <w:t>. Daglig leder forventer at avviket for 2015 rettes opp i forbindelse med årsoppgjøret for 2015 for Sandnes kommune.</w:t>
      </w:r>
    </w:p>
    <w:p w:rsidR="0022087E" w:rsidRPr="00625B2F" w:rsidRDefault="00777032" w:rsidP="0022087E">
      <w:pPr>
        <w:spacing w:after="0" w:line="240" w:lineRule="auto"/>
        <w:rPr>
          <w:rFonts w:ascii="Times New Roman" w:hAnsi="Times New Roman" w:cs="Times New Roman"/>
        </w:rPr>
      </w:pPr>
      <w:r w:rsidRPr="00625B2F">
        <w:rPr>
          <w:rFonts w:ascii="Times New Roman" w:hAnsi="Times New Roman" w:cs="Times New Roman"/>
        </w:rPr>
        <w:t xml:space="preserve">Når det gjelder reduksjon i energibudsjettet som følge av forventninger om lavere strømpriser fremover, ble det i 2013 lagt inn en reduksjon på </w:t>
      </w:r>
      <w:r w:rsidR="008A6BB6">
        <w:rPr>
          <w:rFonts w:ascii="Times New Roman" w:hAnsi="Times New Roman" w:cs="Times New Roman"/>
        </w:rPr>
        <w:t xml:space="preserve">kr </w:t>
      </w:r>
      <w:r w:rsidRPr="00625B2F">
        <w:rPr>
          <w:rFonts w:ascii="Times New Roman" w:hAnsi="Times New Roman" w:cs="Times New Roman"/>
        </w:rPr>
        <w:t>3 mill</w:t>
      </w:r>
      <w:r w:rsidR="008A6BB6">
        <w:rPr>
          <w:rFonts w:ascii="Times New Roman" w:hAnsi="Times New Roman" w:cs="Times New Roman"/>
        </w:rPr>
        <w:t>oner</w:t>
      </w:r>
      <w:r w:rsidRPr="00625B2F">
        <w:rPr>
          <w:rFonts w:ascii="Times New Roman" w:hAnsi="Times New Roman" w:cs="Times New Roman"/>
        </w:rPr>
        <w:t xml:space="preserve">. </w:t>
      </w:r>
      <w:r w:rsidR="0022087E" w:rsidRPr="00625B2F">
        <w:rPr>
          <w:rFonts w:ascii="Times New Roman" w:hAnsi="Times New Roman" w:cs="Times New Roman"/>
        </w:rPr>
        <w:t>Det ble imidlertid ikke lagt inn tilsvarende reduksjon i innsparingskravene som var satt i forhold til enøk-tiltak. Daglig leder forventer at også dette rettes opp i ved fremleggelse av årsoppgjøret for Sandnes kommune for året 2015. Det vil bli foretatt beregninger som viser hvor stort dette beløpet skulle vært for 2015.</w:t>
      </w:r>
    </w:p>
    <w:p w:rsidR="002640D4" w:rsidRPr="003E1489" w:rsidRDefault="002640D4" w:rsidP="002640D4">
      <w:pPr>
        <w:spacing w:after="0" w:line="240" w:lineRule="auto"/>
        <w:rPr>
          <w:rFonts w:ascii="Times New Roman" w:hAnsi="Times New Roman" w:cs="Times New Roman"/>
        </w:rPr>
      </w:pPr>
    </w:p>
    <w:p w:rsidR="002640D4" w:rsidRPr="003E1489" w:rsidRDefault="002640D4" w:rsidP="002640D4">
      <w:pPr>
        <w:spacing w:after="0" w:line="240" w:lineRule="auto"/>
        <w:rPr>
          <w:rFonts w:ascii="Times New Roman" w:hAnsi="Times New Roman" w:cs="Times New Roman"/>
        </w:rPr>
      </w:pPr>
      <w:r w:rsidRPr="003E1489">
        <w:rPr>
          <w:rFonts w:ascii="Times New Roman" w:hAnsi="Times New Roman" w:cs="Times New Roman"/>
        </w:rPr>
        <w:t xml:space="preserve">Det er ikke fordelt DKI-del til strøm etter 2012. Beløpene har her blitt liggende på vedlikehold noe som betyr at SEKF </w:t>
      </w:r>
      <w:r w:rsidR="00F36FB5" w:rsidRPr="003E1489">
        <w:rPr>
          <w:rFonts w:ascii="Times New Roman" w:hAnsi="Times New Roman" w:cs="Times New Roman"/>
        </w:rPr>
        <w:t xml:space="preserve">har </w:t>
      </w:r>
      <w:r w:rsidRPr="003E1489">
        <w:rPr>
          <w:rFonts w:ascii="Times New Roman" w:hAnsi="Times New Roman" w:cs="Times New Roman"/>
        </w:rPr>
        <w:t>beholdt budsjettmidlene</w:t>
      </w:r>
      <w:r w:rsidR="008A6BB6">
        <w:rPr>
          <w:rFonts w:ascii="Times New Roman" w:hAnsi="Times New Roman" w:cs="Times New Roman"/>
        </w:rPr>
        <w:t>,</w:t>
      </w:r>
      <w:r w:rsidRPr="003E1489">
        <w:rPr>
          <w:rFonts w:ascii="Times New Roman" w:hAnsi="Times New Roman" w:cs="Times New Roman"/>
        </w:rPr>
        <w:t xml:space="preserve"> men på feil post. Dette vil bli justert fra og med 2016.</w:t>
      </w:r>
    </w:p>
    <w:p w:rsidR="003E1400" w:rsidRPr="003E1489" w:rsidRDefault="003E1400" w:rsidP="002640D4">
      <w:pPr>
        <w:spacing w:after="0" w:line="240" w:lineRule="auto"/>
        <w:rPr>
          <w:rFonts w:ascii="Times New Roman" w:hAnsi="Times New Roman" w:cs="Times New Roman"/>
        </w:rPr>
      </w:pPr>
    </w:p>
    <w:p w:rsidR="00625B2F" w:rsidRPr="003E1489" w:rsidRDefault="00625B2F" w:rsidP="002640D4">
      <w:pPr>
        <w:spacing w:after="0" w:line="240" w:lineRule="auto"/>
        <w:rPr>
          <w:rFonts w:ascii="Times New Roman" w:hAnsi="Times New Roman" w:cs="Times New Roman"/>
        </w:rPr>
      </w:pPr>
    </w:p>
    <w:p w:rsidR="00625B2F" w:rsidRPr="003E1489" w:rsidRDefault="00625B2F" w:rsidP="00B30221">
      <w:pPr>
        <w:rPr>
          <w:rFonts w:ascii="Times New Roman" w:hAnsi="Times New Roman" w:cs="Times New Roman"/>
        </w:rPr>
      </w:pPr>
      <w:r w:rsidRPr="003E1489">
        <w:rPr>
          <w:rFonts w:ascii="Times New Roman" w:hAnsi="Times New Roman" w:cs="Times New Roman"/>
          <w:b/>
          <w:u w:val="single"/>
        </w:rPr>
        <w:t>Korreksjoner som vil bli foretatt før årsslutt:</w:t>
      </w:r>
    </w:p>
    <w:p w:rsidR="00625B2F" w:rsidRPr="003E1489" w:rsidRDefault="00625B2F" w:rsidP="003E1489">
      <w:pPr>
        <w:pStyle w:val="Listeavsnitt"/>
        <w:numPr>
          <w:ilvl w:val="0"/>
          <w:numId w:val="7"/>
        </w:numPr>
        <w:rPr>
          <w:rFonts w:ascii="Times New Roman" w:hAnsi="Times New Roman" w:cs="Times New Roman"/>
        </w:rPr>
      </w:pPr>
      <w:r w:rsidRPr="003E1489">
        <w:rPr>
          <w:rFonts w:ascii="Times New Roman" w:hAnsi="Times New Roman" w:cs="Times New Roman"/>
        </w:rPr>
        <w:t xml:space="preserve">Feil i pensjonsføringer, om lag kr 2 millioner i merkostnader hvorav </w:t>
      </w:r>
      <w:r w:rsidR="008A6BB6">
        <w:rPr>
          <w:rFonts w:ascii="Times New Roman" w:hAnsi="Times New Roman" w:cs="Times New Roman"/>
        </w:rPr>
        <w:t>omlag</w:t>
      </w:r>
      <w:r w:rsidRPr="003E1489">
        <w:rPr>
          <w:rFonts w:ascii="Times New Roman" w:hAnsi="Times New Roman" w:cs="Times New Roman"/>
        </w:rPr>
        <w:t xml:space="preserve"> </w:t>
      </w:r>
      <w:r w:rsidR="008A6BB6">
        <w:rPr>
          <w:rFonts w:ascii="Times New Roman" w:hAnsi="Times New Roman" w:cs="Times New Roman"/>
        </w:rPr>
        <w:t xml:space="preserve">kr </w:t>
      </w:r>
      <w:r w:rsidRPr="003E1489">
        <w:rPr>
          <w:rFonts w:ascii="Times New Roman" w:hAnsi="Times New Roman" w:cs="Times New Roman"/>
        </w:rPr>
        <w:t>1,4 mill</w:t>
      </w:r>
      <w:r w:rsidR="008A6BB6">
        <w:rPr>
          <w:rFonts w:ascii="Times New Roman" w:hAnsi="Times New Roman" w:cs="Times New Roman"/>
        </w:rPr>
        <w:t>ioner</w:t>
      </w:r>
      <w:r w:rsidRPr="003E1489">
        <w:rPr>
          <w:rFonts w:ascii="Times New Roman" w:hAnsi="Times New Roman" w:cs="Times New Roman"/>
        </w:rPr>
        <w:t xml:space="preserve"> netto vil bli belaste driften.</w:t>
      </w:r>
    </w:p>
    <w:p w:rsidR="00625B2F" w:rsidRPr="003E1489" w:rsidRDefault="00625B2F" w:rsidP="003E1489">
      <w:pPr>
        <w:pStyle w:val="Listeavsnitt"/>
        <w:numPr>
          <w:ilvl w:val="0"/>
          <w:numId w:val="7"/>
        </w:numPr>
        <w:rPr>
          <w:rFonts w:ascii="Times New Roman" w:hAnsi="Times New Roman" w:cs="Times New Roman"/>
        </w:rPr>
      </w:pPr>
      <w:r w:rsidRPr="003E1489">
        <w:rPr>
          <w:rFonts w:ascii="Times New Roman" w:hAnsi="Times New Roman" w:cs="Times New Roman"/>
        </w:rPr>
        <w:t xml:space="preserve">Tilbakeførte renteinntekter, om lag </w:t>
      </w:r>
      <w:r w:rsidR="008A6BB6">
        <w:rPr>
          <w:rFonts w:ascii="Times New Roman" w:hAnsi="Times New Roman" w:cs="Times New Roman"/>
        </w:rPr>
        <w:t xml:space="preserve">kr </w:t>
      </w:r>
      <w:r w:rsidRPr="003E1489">
        <w:rPr>
          <w:rFonts w:ascii="Times New Roman" w:hAnsi="Times New Roman" w:cs="Times New Roman"/>
        </w:rPr>
        <w:t>0,7 millioner</w:t>
      </w:r>
    </w:p>
    <w:p w:rsidR="00625B2F" w:rsidRPr="003E1489" w:rsidRDefault="00625B2F" w:rsidP="003E1489">
      <w:pPr>
        <w:pStyle w:val="Listeavsnitt"/>
        <w:numPr>
          <w:ilvl w:val="0"/>
          <w:numId w:val="7"/>
        </w:numPr>
        <w:rPr>
          <w:rFonts w:ascii="Times New Roman" w:hAnsi="Times New Roman" w:cs="Times New Roman"/>
        </w:rPr>
      </w:pPr>
      <w:r w:rsidRPr="003E1489">
        <w:rPr>
          <w:rFonts w:ascii="Times New Roman" w:hAnsi="Times New Roman" w:cs="Times New Roman"/>
        </w:rPr>
        <w:t>Tilbakeført momskompensasjon, om lag kr 0,2 millioner</w:t>
      </w:r>
    </w:p>
    <w:p w:rsidR="00625B2F" w:rsidRPr="003E1489" w:rsidRDefault="00625B2F" w:rsidP="003E1489">
      <w:pPr>
        <w:pStyle w:val="Listeavsnitt"/>
        <w:numPr>
          <w:ilvl w:val="0"/>
          <w:numId w:val="7"/>
        </w:numPr>
        <w:rPr>
          <w:rFonts w:ascii="Times New Roman" w:hAnsi="Times New Roman" w:cs="Times New Roman"/>
        </w:rPr>
      </w:pPr>
      <w:r w:rsidRPr="003E1489">
        <w:rPr>
          <w:rFonts w:ascii="Times New Roman" w:hAnsi="Times New Roman" w:cs="Times New Roman"/>
        </w:rPr>
        <w:t>Tilleggsbevilgning til Austråtthallen, kr 1,5 millioner, fra 2. perioderapport</w:t>
      </w:r>
    </w:p>
    <w:p w:rsidR="00625B2F" w:rsidRPr="003E1489" w:rsidRDefault="00625B2F" w:rsidP="00B30221">
      <w:pPr>
        <w:rPr>
          <w:rFonts w:ascii="Times New Roman" w:hAnsi="Times New Roman" w:cs="Times New Roman"/>
        </w:rPr>
      </w:pPr>
      <w:r w:rsidRPr="003E1489">
        <w:rPr>
          <w:rFonts w:ascii="Times New Roman" w:hAnsi="Times New Roman" w:cs="Times New Roman"/>
        </w:rPr>
        <w:t xml:space="preserve">Totalt vil dette gi et økt forbruk </w:t>
      </w:r>
      <w:r w:rsidR="003E1489" w:rsidRPr="003E1489">
        <w:rPr>
          <w:rFonts w:ascii="Times New Roman" w:hAnsi="Times New Roman" w:cs="Times New Roman"/>
        </w:rPr>
        <w:t xml:space="preserve">i driftsbudsjettet </w:t>
      </w:r>
      <w:r w:rsidRPr="003E1489">
        <w:rPr>
          <w:rFonts w:ascii="Times New Roman" w:hAnsi="Times New Roman" w:cs="Times New Roman"/>
        </w:rPr>
        <w:t xml:space="preserve">på kr </w:t>
      </w:r>
      <w:r w:rsidR="003E1489" w:rsidRPr="003E1489">
        <w:rPr>
          <w:rFonts w:ascii="Times New Roman" w:hAnsi="Times New Roman" w:cs="Times New Roman"/>
        </w:rPr>
        <w:t>0,8 mil</w:t>
      </w:r>
      <w:r w:rsidR="008A6BB6">
        <w:rPr>
          <w:rFonts w:ascii="Times New Roman" w:hAnsi="Times New Roman" w:cs="Times New Roman"/>
        </w:rPr>
        <w:t>ioner.</w:t>
      </w:r>
    </w:p>
    <w:p w:rsidR="00625B2F" w:rsidRPr="003E1489" w:rsidRDefault="00625B2F" w:rsidP="00B30221">
      <w:pPr>
        <w:rPr>
          <w:rFonts w:ascii="Times New Roman" w:hAnsi="Times New Roman" w:cs="Times New Roman"/>
          <w:b/>
          <w:sz w:val="28"/>
          <w:szCs w:val="28"/>
          <w:u w:val="single"/>
        </w:rPr>
      </w:pPr>
    </w:p>
    <w:p w:rsidR="00720FD8" w:rsidRPr="00625B2F" w:rsidRDefault="00720FD8" w:rsidP="00B30221">
      <w:pPr>
        <w:rPr>
          <w:rFonts w:ascii="Times New Roman" w:hAnsi="Times New Roman" w:cs="Times New Roman"/>
          <w:b/>
          <w:sz w:val="28"/>
          <w:szCs w:val="28"/>
          <w:u w:val="single"/>
        </w:rPr>
      </w:pPr>
      <w:r w:rsidRPr="00625B2F">
        <w:rPr>
          <w:rFonts w:ascii="Times New Roman" w:hAnsi="Times New Roman" w:cs="Times New Roman"/>
          <w:b/>
          <w:sz w:val="28"/>
          <w:szCs w:val="28"/>
          <w:u w:val="single"/>
        </w:rPr>
        <w:t>Oppsummering:</w:t>
      </w:r>
    </w:p>
    <w:p w:rsidR="00720FD8" w:rsidRPr="00625B2F" w:rsidRDefault="00F36FB5" w:rsidP="00B30221">
      <w:pPr>
        <w:rPr>
          <w:rFonts w:ascii="Times New Roman" w:hAnsi="Times New Roman" w:cs="Times New Roman"/>
        </w:rPr>
      </w:pPr>
      <w:r w:rsidRPr="00625B2F">
        <w:rPr>
          <w:rFonts w:ascii="Times New Roman" w:hAnsi="Times New Roman" w:cs="Times New Roman"/>
        </w:rPr>
        <w:t xml:space="preserve">Daglig leder er ikke tilfreds med at selskapet ligger an til et overforbruk på </w:t>
      </w:r>
      <w:r w:rsidR="007A06ED">
        <w:rPr>
          <w:rFonts w:ascii="Times New Roman" w:hAnsi="Times New Roman" w:cs="Times New Roman"/>
        </w:rPr>
        <w:t xml:space="preserve">kr </w:t>
      </w:r>
      <w:r w:rsidR="003E1489">
        <w:rPr>
          <w:rFonts w:ascii="Times New Roman" w:hAnsi="Times New Roman" w:cs="Times New Roman"/>
        </w:rPr>
        <w:t xml:space="preserve">4,0 </w:t>
      </w:r>
      <w:r w:rsidRPr="00625B2F">
        <w:rPr>
          <w:rFonts w:ascii="Times New Roman" w:hAnsi="Times New Roman" w:cs="Times New Roman"/>
        </w:rPr>
        <w:t>mill</w:t>
      </w:r>
      <w:r w:rsidR="007A06ED">
        <w:rPr>
          <w:rFonts w:ascii="Times New Roman" w:hAnsi="Times New Roman" w:cs="Times New Roman"/>
        </w:rPr>
        <w:t>ioner</w:t>
      </w:r>
      <w:r w:rsidR="003E1489">
        <w:rPr>
          <w:rFonts w:ascii="Times New Roman" w:hAnsi="Times New Roman" w:cs="Times New Roman"/>
        </w:rPr>
        <w:t xml:space="preserve"> </w:t>
      </w:r>
      <w:r w:rsidRPr="00625B2F">
        <w:rPr>
          <w:rFonts w:ascii="Times New Roman" w:hAnsi="Times New Roman" w:cs="Times New Roman"/>
        </w:rPr>
        <w:t>for regnskapsåret 2015</w:t>
      </w:r>
      <w:r w:rsidR="003E1489">
        <w:rPr>
          <w:rFonts w:ascii="Times New Roman" w:hAnsi="Times New Roman" w:cs="Times New Roman"/>
        </w:rPr>
        <w:t xml:space="preserve"> (3,2 mill + 0,8 mill)</w:t>
      </w:r>
      <w:r w:rsidRPr="00625B2F">
        <w:rPr>
          <w:rFonts w:ascii="Times New Roman" w:hAnsi="Times New Roman" w:cs="Times New Roman"/>
        </w:rPr>
        <w:t xml:space="preserve">. Det er som tidligere rapportert kjørt en meget stram budsjettdisiplin i alle avdelinger. Det har over tid vært usikkerhet knyttet til energibudsjettet og en har derfor hatt behov for et «dypdykk» i disse forholdene. Daglig leders bekymring om at noe ikke har stemt </w:t>
      </w:r>
      <w:r w:rsidR="003E1489">
        <w:rPr>
          <w:rFonts w:ascii="Times New Roman" w:hAnsi="Times New Roman" w:cs="Times New Roman"/>
        </w:rPr>
        <w:t xml:space="preserve">på dette området </w:t>
      </w:r>
      <w:r w:rsidRPr="00625B2F">
        <w:rPr>
          <w:rFonts w:ascii="Times New Roman" w:hAnsi="Times New Roman" w:cs="Times New Roman"/>
        </w:rPr>
        <w:t xml:space="preserve">har da også vist seg å være berettiget og etter undertegnedes vurdering ligger ikke dette forhold som nå er avdekket til selskapet alene å ta ansvaret for. Budsjettfeilen på </w:t>
      </w:r>
      <w:r w:rsidR="008A6BB6">
        <w:rPr>
          <w:rFonts w:ascii="Times New Roman" w:hAnsi="Times New Roman" w:cs="Times New Roman"/>
        </w:rPr>
        <w:t xml:space="preserve">kr </w:t>
      </w:r>
      <w:r w:rsidRPr="00625B2F">
        <w:rPr>
          <w:rFonts w:ascii="Times New Roman" w:hAnsi="Times New Roman" w:cs="Times New Roman"/>
        </w:rPr>
        <w:t>4 mill</w:t>
      </w:r>
      <w:r w:rsidR="008A6BB6">
        <w:rPr>
          <w:rFonts w:ascii="Times New Roman" w:hAnsi="Times New Roman" w:cs="Times New Roman"/>
        </w:rPr>
        <w:t>ioner</w:t>
      </w:r>
      <w:r w:rsidRPr="00625B2F">
        <w:rPr>
          <w:rFonts w:ascii="Times New Roman" w:hAnsi="Times New Roman" w:cs="Times New Roman"/>
        </w:rPr>
        <w:t xml:space="preserve"> vil med en tilføring av nevnte midler fra bykassen resultere i at selskapet går i balanse ved årets slutt. I motsatt fall vil selskapet ha betydelige utfordringer i 2016, ikke minst sett opp mot de nye innstrammingene som ligger i neste års budsjettforslaget. </w:t>
      </w:r>
      <w:r w:rsidR="00625B2F" w:rsidRPr="00625B2F">
        <w:rPr>
          <w:rFonts w:ascii="Times New Roman" w:hAnsi="Times New Roman" w:cs="Times New Roman"/>
        </w:rPr>
        <w:t>Forholdet rundt feilbudsjettering innen energiområdet er å anse som en ren «glipp» og har ikke vært tiltenkt og daglig leder anbefaler at dette søkes rettet opp i forbindelse med årsoppgjøret 2015 for Sandnes kommune.</w:t>
      </w:r>
    </w:p>
    <w:p w:rsidR="00625B2F" w:rsidRPr="00625B2F" w:rsidRDefault="00625B2F" w:rsidP="005A4DBB">
      <w:pPr>
        <w:rPr>
          <w:rFonts w:ascii="Times New Roman" w:hAnsi="Times New Roman" w:cs="Times New Roman"/>
          <w:b/>
          <w:sz w:val="28"/>
          <w:szCs w:val="28"/>
          <w:u w:val="single"/>
        </w:rPr>
      </w:pPr>
    </w:p>
    <w:p w:rsidR="0068300B" w:rsidRPr="00625B2F" w:rsidRDefault="000835D0" w:rsidP="005A4DBB">
      <w:pPr>
        <w:rPr>
          <w:rFonts w:ascii="Times New Roman" w:hAnsi="Times New Roman" w:cs="Times New Roman"/>
          <w:b/>
          <w:sz w:val="28"/>
          <w:szCs w:val="28"/>
        </w:rPr>
      </w:pPr>
      <w:r w:rsidRPr="00625B2F">
        <w:rPr>
          <w:rFonts w:ascii="Times New Roman" w:hAnsi="Times New Roman" w:cs="Times New Roman"/>
          <w:b/>
          <w:sz w:val="28"/>
          <w:szCs w:val="28"/>
          <w:u w:val="single"/>
        </w:rPr>
        <w:t>Forslag til vedtak</w:t>
      </w:r>
      <w:r w:rsidRPr="00625B2F">
        <w:rPr>
          <w:rFonts w:ascii="Times New Roman" w:hAnsi="Times New Roman" w:cs="Times New Roman"/>
          <w:b/>
          <w:sz w:val="28"/>
          <w:szCs w:val="28"/>
        </w:rPr>
        <w:t>:</w:t>
      </w:r>
    </w:p>
    <w:p w:rsidR="006908BF" w:rsidRPr="00625B2F" w:rsidRDefault="00625B2F" w:rsidP="00625B2F">
      <w:pPr>
        <w:pStyle w:val="Listeavsnitt"/>
        <w:numPr>
          <w:ilvl w:val="0"/>
          <w:numId w:val="6"/>
        </w:numPr>
        <w:rPr>
          <w:rFonts w:ascii="Times New Roman" w:hAnsi="Times New Roman" w:cs="Times New Roman"/>
        </w:rPr>
      </w:pPr>
      <w:r w:rsidRPr="00625B2F">
        <w:rPr>
          <w:rFonts w:ascii="Times New Roman" w:hAnsi="Times New Roman" w:cs="Times New Roman"/>
        </w:rPr>
        <w:t xml:space="preserve">Saken tas til orientering. </w:t>
      </w:r>
    </w:p>
    <w:p w:rsidR="00625B2F" w:rsidRPr="00625B2F" w:rsidRDefault="00625B2F" w:rsidP="00625B2F">
      <w:pPr>
        <w:pStyle w:val="Listeavsnitt"/>
        <w:numPr>
          <w:ilvl w:val="0"/>
          <w:numId w:val="6"/>
        </w:numPr>
        <w:rPr>
          <w:rFonts w:ascii="Times New Roman" w:hAnsi="Times New Roman" w:cs="Times New Roman"/>
        </w:rPr>
      </w:pPr>
      <w:r w:rsidRPr="00625B2F">
        <w:rPr>
          <w:rFonts w:ascii="Times New Roman" w:hAnsi="Times New Roman" w:cs="Times New Roman"/>
        </w:rPr>
        <w:t>Saken oversendes rådmannen for videre oppfølging mht forslag om budsjettjustering av feilbudsjettering av energibudsjett for SEKF for 2015</w:t>
      </w:r>
      <w:r w:rsidR="0079389E">
        <w:rPr>
          <w:rFonts w:ascii="Times New Roman" w:hAnsi="Times New Roman" w:cs="Times New Roman"/>
        </w:rPr>
        <w:t xml:space="preserve"> i forbindelse med saken om årsregnskapet.</w:t>
      </w:r>
    </w:p>
    <w:p w:rsidR="006908BF" w:rsidRPr="00625B2F" w:rsidRDefault="006908BF" w:rsidP="005A4DBB">
      <w:pPr>
        <w:rPr>
          <w:rFonts w:ascii="Times New Roman" w:hAnsi="Times New Roman" w:cs="Times New Roman"/>
          <w:sz w:val="28"/>
          <w:szCs w:val="28"/>
        </w:rPr>
      </w:pPr>
    </w:p>
    <w:p w:rsidR="006908BF" w:rsidRPr="00625B2F" w:rsidRDefault="00156569" w:rsidP="005A4DBB">
      <w:pPr>
        <w:rPr>
          <w:rFonts w:ascii="Times New Roman" w:hAnsi="Times New Roman" w:cs="Times New Roman"/>
          <w:color w:val="FF0000"/>
          <w:sz w:val="24"/>
          <w:szCs w:val="24"/>
        </w:rPr>
      </w:pPr>
      <w:r w:rsidRPr="00625B2F">
        <w:rPr>
          <w:rFonts w:ascii="Times New Roman" w:hAnsi="Times New Roman" w:cs="Times New Roman"/>
          <w:sz w:val="24"/>
          <w:szCs w:val="24"/>
        </w:rPr>
        <w:t xml:space="preserve">Sandnes Eiendomsselskap KF, </w:t>
      </w:r>
      <w:r w:rsidR="008B0E88" w:rsidRPr="00625B2F">
        <w:rPr>
          <w:rFonts w:ascii="Times New Roman" w:hAnsi="Times New Roman" w:cs="Times New Roman"/>
          <w:sz w:val="24"/>
          <w:szCs w:val="24"/>
        </w:rPr>
        <w:t>09</w:t>
      </w:r>
      <w:r w:rsidR="00DB75ED" w:rsidRPr="00625B2F">
        <w:rPr>
          <w:rFonts w:ascii="Times New Roman" w:hAnsi="Times New Roman" w:cs="Times New Roman"/>
          <w:sz w:val="24"/>
          <w:szCs w:val="24"/>
        </w:rPr>
        <w:t>.1</w:t>
      </w:r>
      <w:r w:rsidR="008B0E88" w:rsidRPr="00625B2F">
        <w:rPr>
          <w:rFonts w:ascii="Times New Roman" w:hAnsi="Times New Roman" w:cs="Times New Roman"/>
          <w:sz w:val="24"/>
          <w:szCs w:val="24"/>
        </w:rPr>
        <w:t>2</w:t>
      </w:r>
      <w:r w:rsidR="00001E3F" w:rsidRPr="00625B2F">
        <w:rPr>
          <w:rFonts w:ascii="Times New Roman" w:hAnsi="Times New Roman" w:cs="Times New Roman"/>
          <w:sz w:val="24"/>
          <w:szCs w:val="24"/>
        </w:rPr>
        <w:t>.20</w:t>
      </w:r>
      <w:bookmarkStart w:id="0" w:name="_GoBack"/>
      <w:bookmarkEnd w:id="0"/>
      <w:r w:rsidR="00001E3F" w:rsidRPr="00625B2F">
        <w:rPr>
          <w:rFonts w:ascii="Times New Roman" w:hAnsi="Times New Roman" w:cs="Times New Roman"/>
          <w:sz w:val="24"/>
          <w:szCs w:val="24"/>
        </w:rPr>
        <w:t>15</w:t>
      </w:r>
    </w:p>
    <w:p w:rsidR="00487D79" w:rsidRPr="00625B2F" w:rsidRDefault="00487D79" w:rsidP="005A4DBB">
      <w:pPr>
        <w:rPr>
          <w:rFonts w:ascii="Times New Roman" w:hAnsi="Times New Roman" w:cs="Times New Roman"/>
          <w:sz w:val="24"/>
          <w:szCs w:val="24"/>
        </w:rPr>
      </w:pPr>
    </w:p>
    <w:p w:rsidR="00156569" w:rsidRPr="00625B2F" w:rsidRDefault="00156569" w:rsidP="005A4DBB">
      <w:pPr>
        <w:rPr>
          <w:rFonts w:ascii="Times New Roman" w:hAnsi="Times New Roman" w:cs="Times New Roman"/>
          <w:sz w:val="24"/>
          <w:szCs w:val="24"/>
        </w:rPr>
      </w:pPr>
      <w:r w:rsidRPr="00625B2F">
        <w:rPr>
          <w:rFonts w:ascii="Times New Roman" w:hAnsi="Times New Roman" w:cs="Times New Roman"/>
          <w:sz w:val="24"/>
          <w:szCs w:val="24"/>
        </w:rPr>
        <w:t>Torbjørn Sterri</w:t>
      </w:r>
    </w:p>
    <w:p w:rsidR="00C247EC" w:rsidRPr="00625B2F" w:rsidRDefault="00156569" w:rsidP="005A4DBB">
      <w:pPr>
        <w:rPr>
          <w:rFonts w:ascii="Times New Roman" w:hAnsi="Times New Roman" w:cs="Times New Roman"/>
          <w:sz w:val="24"/>
          <w:szCs w:val="24"/>
        </w:rPr>
      </w:pPr>
      <w:r w:rsidRPr="00625B2F">
        <w:rPr>
          <w:rFonts w:ascii="Times New Roman" w:hAnsi="Times New Roman" w:cs="Times New Roman"/>
          <w:sz w:val="24"/>
          <w:szCs w:val="24"/>
        </w:rPr>
        <w:t>daglig leder</w:t>
      </w:r>
    </w:p>
    <w:p w:rsidR="00097712" w:rsidRDefault="00C247EC" w:rsidP="00F664E9">
      <w:r>
        <w:rPr>
          <w:rFonts w:ascii="Times New Roman" w:hAnsi="Times New Roman" w:cs="Times New Roman"/>
          <w:sz w:val="24"/>
          <w:szCs w:val="24"/>
        </w:rPr>
        <w:br w:type="page"/>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4C" w:rsidRDefault="00E5794C" w:rsidP="00B30221">
      <w:pPr>
        <w:spacing w:after="0" w:line="240" w:lineRule="auto"/>
      </w:pPr>
      <w:r>
        <w:separator/>
      </w:r>
    </w:p>
  </w:endnote>
  <w:endnote w:type="continuationSeparator" w:id="0">
    <w:p w:rsidR="00E5794C" w:rsidRDefault="00E5794C"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4C" w:rsidRDefault="00E5794C" w:rsidP="00B30221">
      <w:pPr>
        <w:spacing w:after="0" w:line="240" w:lineRule="auto"/>
      </w:pPr>
      <w:r>
        <w:separator/>
      </w:r>
    </w:p>
  </w:footnote>
  <w:footnote w:type="continuationSeparator" w:id="0">
    <w:p w:rsidR="00E5794C" w:rsidRDefault="00E5794C"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372FE5"/>
    <w:multiLevelType w:val="hybridMultilevel"/>
    <w:tmpl w:val="4F9C6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707AC6"/>
    <w:multiLevelType w:val="hybridMultilevel"/>
    <w:tmpl w:val="408A39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2E6DCC"/>
    <w:multiLevelType w:val="hybridMultilevel"/>
    <w:tmpl w:val="0602D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22E3"/>
    <w:rsid w:val="00075EBA"/>
    <w:rsid w:val="000835D0"/>
    <w:rsid w:val="00097712"/>
    <w:rsid w:val="000B30FA"/>
    <w:rsid w:val="000B642B"/>
    <w:rsid w:val="000C40B0"/>
    <w:rsid w:val="001269B0"/>
    <w:rsid w:val="00135883"/>
    <w:rsid w:val="00156569"/>
    <w:rsid w:val="001870CE"/>
    <w:rsid w:val="00190A2F"/>
    <w:rsid w:val="00196F0B"/>
    <w:rsid w:val="001E2546"/>
    <w:rsid w:val="00206A8B"/>
    <w:rsid w:val="0022087E"/>
    <w:rsid w:val="00263933"/>
    <w:rsid w:val="002640D4"/>
    <w:rsid w:val="00265A6A"/>
    <w:rsid w:val="002A65B8"/>
    <w:rsid w:val="003B2054"/>
    <w:rsid w:val="003E1121"/>
    <w:rsid w:val="003E1400"/>
    <w:rsid w:val="003E1489"/>
    <w:rsid w:val="00416879"/>
    <w:rsid w:val="00425C04"/>
    <w:rsid w:val="00487D79"/>
    <w:rsid w:val="004C093A"/>
    <w:rsid w:val="004E0F9A"/>
    <w:rsid w:val="005139AE"/>
    <w:rsid w:val="00531A50"/>
    <w:rsid w:val="005A4DBB"/>
    <w:rsid w:val="005F4323"/>
    <w:rsid w:val="00603C74"/>
    <w:rsid w:val="00625B2F"/>
    <w:rsid w:val="00627625"/>
    <w:rsid w:val="006428ED"/>
    <w:rsid w:val="0067672B"/>
    <w:rsid w:val="0068300B"/>
    <w:rsid w:val="006842E6"/>
    <w:rsid w:val="006908BF"/>
    <w:rsid w:val="006A5F01"/>
    <w:rsid w:val="006A6C8B"/>
    <w:rsid w:val="006D7117"/>
    <w:rsid w:val="006F078A"/>
    <w:rsid w:val="006F671A"/>
    <w:rsid w:val="006F68CE"/>
    <w:rsid w:val="00720FD8"/>
    <w:rsid w:val="00727BEA"/>
    <w:rsid w:val="00740CC7"/>
    <w:rsid w:val="00742CEC"/>
    <w:rsid w:val="00777032"/>
    <w:rsid w:val="00781B98"/>
    <w:rsid w:val="00793252"/>
    <w:rsid w:val="0079389E"/>
    <w:rsid w:val="007A06ED"/>
    <w:rsid w:val="007B459C"/>
    <w:rsid w:val="007B58CC"/>
    <w:rsid w:val="007E2845"/>
    <w:rsid w:val="00847DA3"/>
    <w:rsid w:val="008668CB"/>
    <w:rsid w:val="00877A5D"/>
    <w:rsid w:val="00893CFB"/>
    <w:rsid w:val="008A6BB6"/>
    <w:rsid w:val="008B0E88"/>
    <w:rsid w:val="008C1A3D"/>
    <w:rsid w:val="009043C9"/>
    <w:rsid w:val="0091686D"/>
    <w:rsid w:val="00924E79"/>
    <w:rsid w:val="009435FB"/>
    <w:rsid w:val="00943A83"/>
    <w:rsid w:val="009679B0"/>
    <w:rsid w:val="009873D1"/>
    <w:rsid w:val="009C5624"/>
    <w:rsid w:val="00A27909"/>
    <w:rsid w:val="00AA60A7"/>
    <w:rsid w:val="00AA7F48"/>
    <w:rsid w:val="00AD3D7A"/>
    <w:rsid w:val="00B107B7"/>
    <w:rsid w:val="00B30221"/>
    <w:rsid w:val="00B30CC1"/>
    <w:rsid w:val="00B52A16"/>
    <w:rsid w:val="00B67FF5"/>
    <w:rsid w:val="00B7732D"/>
    <w:rsid w:val="00BB1A4C"/>
    <w:rsid w:val="00BC664E"/>
    <w:rsid w:val="00C247EC"/>
    <w:rsid w:val="00C27D11"/>
    <w:rsid w:val="00C470A3"/>
    <w:rsid w:val="00CC5B49"/>
    <w:rsid w:val="00CF4C50"/>
    <w:rsid w:val="00D870DB"/>
    <w:rsid w:val="00D9389D"/>
    <w:rsid w:val="00DA1F37"/>
    <w:rsid w:val="00DA5991"/>
    <w:rsid w:val="00DB75ED"/>
    <w:rsid w:val="00DE58E6"/>
    <w:rsid w:val="00E336D5"/>
    <w:rsid w:val="00E35F1D"/>
    <w:rsid w:val="00E51D94"/>
    <w:rsid w:val="00E5794C"/>
    <w:rsid w:val="00E62959"/>
    <w:rsid w:val="00E90FB9"/>
    <w:rsid w:val="00F228E5"/>
    <w:rsid w:val="00F36FB5"/>
    <w:rsid w:val="00F52164"/>
    <w:rsid w:val="00F65156"/>
    <w:rsid w:val="00F664E9"/>
    <w:rsid w:val="00FA3722"/>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character" w:styleId="Merknadsreferanse">
    <w:name w:val="annotation reference"/>
    <w:basedOn w:val="Standardskriftforavsnitt"/>
    <w:uiPriority w:val="99"/>
    <w:semiHidden/>
    <w:unhideWhenUsed/>
    <w:rsid w:val="007A06ED"/>
    <w:rPr>
      <w:sz w:val="16"/>
      <w:szCs w:val="16"/>
    </w:rPr>
  </w:style>
  <w:style w:type="paragraph" w:styleId="Merknadstekst">
    <w:name w:val="annotation text"/>
    <w:basedOn w:val="Normal"/>
    <w:link w:val="MerknadstekstTegn"/>
    <w:uiPriority w:val="99"/>
    <w:semiHidden/>
    <w:unhideWhenUsed/>
    <w:rsid w:val="007A06E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06ED"/>
    <w:rPr>
      <w:sz w:val="20"/>
      <w:szCs w:val="20"/>
    </w:rPr>
  </w:style>
  <w:style w:type="paragraph" w:styleId="Kommentaremne">
    <w:name w:val="annotation subject"/>
    <w:basedOn w:val="Merknadstekst"/>
    <w:next w:val="Merknadstekst"/>
    <w:link w:val="KommentaremneTegn"/>
    <w:uiPriority w:val="99"/>
    <w:semiHidden/>
    <w:unhideWhenUsed/>
    <w:rsid w:val="007A06ED"/>
    <w:rPr>
      <w:b/>
      <w:bCs/>
    </w:rPr>
  </w:style>
  <w:style w:type="character" w:customStyle="1" w:styleId="KommentaremneTegn">
    <w:name w:val="Kommentaremne Tegn"/>
    <w:basedOn w:val="MerknadstekstTegn"/>
    <w:link w:val="Kommentaremne"/>
    <w:uiPriority w:val="99"/>
    <w:semiHidden/>
    <w:rsid w:val="007A0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809">
      <w:bodyDiv w:val="1"/>
      <w:marLeft w:val="0"/>
      <w:marRight w:val="0"/>
      <w:marTop w:val="0"/>
      <w:marBottom w:val="0"/>
      <w:divBdr>
        <w:top w:val="none" w:sz="0" w:space="0" w:color="auto"/>
        <w:left w:val="none" w:sz="0" w:space="0" w:color="auto"/>
        <w:bottom w:val="none" w:sz="0" w:space="0" w:color="auto"/>
        <w:right w:val="none" w:sz="0" w:space="0" w:color="auto"/>
      </w:divBdr>
    </w:div>
    <w:div w:id="1126582128">
      <w:bodyDiv w:val="1"/>
      <w:marLeft w:val="0"/>
      <w:marRight w:val="0"/>
      <w:marTop w:val="0"/>
      <w:marBottom w:val="0"/>
      <w:divBdr>
        <w:top w:val="none" w:sz="0" w:space="0" w:color="auto"/>
        <w:left w:val="none" w:sz="0" w:space="0" w:color="auto"/>
        <w:bottom w:val="none" w:sz="0" w:space="0" w:color="auto"/>
        <w:right w:val="none" w:sz="0" w:space="0" w:color="auto"/>
      </w:divBdr>
    </w:div>
    <w:div w:id="1474326762">
      <w:bodyDiv w:val="1"/>
      <w:marLeft w:val="0"/>
      <w:marRight w:val="0"/>
      <w:marTop w:val="0"/>
      <w:marBottom w:val="0"/>
      <w:divBdr>
        <w:top w:val="none" w:sz="0" w:space="0" w:color="auto"/>
        <w:left w:val="none" w:sz="0" w:space="0" w:color="auto"/>
        <w:bottom w:val="none" w:sz="0" w:space="0" w:color="auto"/>
        <w:right w:val="none" w:sz="0" w:space="0" w:color="auto"/>
      </w:divBdr>
    </w:div>
    <w:div w:id="1491143228">
      <w:bodyDiv w:val="1"/>
      <w:marLeft w:val="0"/>
      <w:marRight w:val="0"/>
      <w:marTop w:val="0"/>
      <w:marBottom w:val="0"/>
      <w:divBdr>
        <w:top w:val="none" w:sz="0" w:space="0" w:color="auto"/>
        <w:left w:val="none" w:sz="0" w:space="0" w:color="auto"/>
        <w:bottom w:val="none" w:sz="0" w:space="0" w:color="auto"/>
        <w:right w:val="none" w:sz="0" w:space="0" w:color="auto"/>
      </w:divBdr>
    </w:div>
    <w:div w:id="17203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A40D-3B7B-4A26-8F0F-619262E2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5591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2014-05-27T16:55:00Z</cp:lastPrinted>
  <dcterms:created xsi:type="dcterms:W3CDTF">2015-12-09T11:30:00Z</dcterms:created>
  <dcterms:modified xsi:type="dcterms:W3CDTF">2015-12-09T17:05:00Z</dcterms:modified>
</cp:coreProperties>
</file>